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Layout w:type="fixed"/>
      </w:tblPr>
      <w:tblGrid>
        <w:gridCol w:w="4422"/>
        <w:gridCol w:w="4422"/>
      </w:tblGrid>
      <w:tr>
        <w:trPr>
          <w:trHeight w:val="3311" w:hRule="exact"/>
        </w:trPr>
        <w:tc>
          <w:tcPr>
            <w:tcW w:type="dxa" w:w="4422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4422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3311" w:hRule="exact"/>
        </w:trPr>
        <w:tc>
          <w:tcPr>
            <w:tcW w:type="dxa" w:w="4422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4422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3311" w:hRule="exact"/>
        </w:trPr>
        <w:tc>
          <w:tcPr>
            <w:tcW w:type="dxa" w:w="4422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4422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3311" w:hRule="exact"/>
        </w:trPr>
        <w:tc>
          <w:tcPr>
            <w:tcW w:type="dxa" w:w="4422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4422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</w:tbl>
    <w:sectPr w:rsidR="00FC693F" w:rsidRPr="0006063C" w:rsidSect="00034616">
      <w:footerReference w:type="default" r:id="rId9"/>
      <w:pgSz w:w="11906" w:h="16838"/>
      <w:pgMar w:top="1797" w:right="1531" w:bottom="1797" w:left="153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4"/>
      </w:rPr>
      <w:t>BK ETİKET  •  BK-3177  •  78×58.4 mm  •  www.bketiket.com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