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5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79" w:right="2976" w:bottom="879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BK-2514  •  105×38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